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11.12.2020, оставленным без изменения постановлением Пятнадцатого арбитражного апелляционного суда от 12.03.2021 и постановлением Арбитражного суда Северо-Кавказского округа от 17.06.2021, с общества в пользу компании взыскано 11 963 677 руб. задолженности, 80 000 руб. расходов на оплату судебной экспертизы. В кассационной жалобе, поданной в Верховный Суд Российской Федерации, общество, ссылаясь на нарушение судами норм процессуального права, несоответствие их выводов фактическим обстоятельствам дела,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выполнения компанией работ по договору и отсутствие доказательств их оплаты обществом в полном объеме, руководствуясь статьями 702, 720, 721, 746, 753 Гражданского кодекса Российской Федерации, суды первой и апелляционной инстанций пришли к выводу о наличии оснований для удовлетворения иска, с чем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изложенное,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«СантехЛидер»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