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30.09.2020, оставленным без изменения постановлением Девятого арбитражного апелляционного суда от 22.12.2020, в удовлетворении заявления отказано. Постановлением Арбитражного суда Московского округа от 22.04.2021 указанные судебные акты оставлены без изменения. 2 Общество обратилось в Верховный Суд Российской Федерации с кассационной жалобой, в которой просит состоявшиеся по делу судебные акты отменить, заявление удовлетворить. Письмом судьи Верховного Суда Российской Федерации от 23.08.2021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оснований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обществом требований и ограничений по использованию земельного участка. Частью 1.1 статьи 6.7 КоАП Москвы (в редакции, действовавшей в спорный период) установлена ответственность за нарушение требований и ограничений по использованию земельного участка, связанных со строительством, с реконструкцией на нем здания, строения, сооружения, установленных законами города Москвы, иными нормативными правовыми актами города Москвы, правоустанавливающими документами на землю, проектной и иной документацией, определяющей условия использования земельного участка. Оценив представленные доказательства и установив, что к принадлежащим обществу помещениям в нарушение Закона города Москвы от 19.12.2007 № 48 «О землепользовании в городе Москве», Градостроительного кодекса Российской Федерации, возведена пристройка, суды пришли к выводу о наличии в действиях общества состава 3 административного правонарушения, ответственность за которое установлена частью 1.1 статьи 6.7 КоАП Москвы.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проведением обществом реконструкции здания, расположенного на земельном участке, не предоставленном под цели строительства (реконструкции). Как установлено судами, противоправное деяние выразилось в использовании обществом земельного участка с нарушением требований и ограничений по использованию земельного участка, связанных со строительством, реконструкцией на нем здания, строения, сооружения, установленных законами города Москвы, иными нормативными правовыми актами города Москвы, правоустанавливающими документами на землю, проектной и иной документацией, определяющей условия использования земельного участка. Вопреки доводам жалобы в рассматриваемом случае обществу не вменяется осуществление строительства, реконструкции объектов капитального строительства без разрешения на строительство, ответственность за которое установлена частью 1 статьи 9.5 КоАП РФ. При этом Законом г. Москвы от 19.05.2021 № 14 «О внесении изменений в Закон города Москвы от 21.11.2007 № 45 «Кодекс города Москвы об административных правонарушениях» ответственность за указанное правонарушение не устранена.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Штраф назначен в соответствии с требованиями части 1.1 статьи 6.7 КоАП Москвы.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