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23.11.2020, оставленным без изменения постановлением Семнадцатого арбитражного апелляционного суда от 10.02.2021, заявленные требования удовлетворены. Арбитражный суд Уральского округа постановлением от 07.06.2021 отменил постановление суда апелляционной инстанции, дело направил на новое рассмотрение в Семнадцатый арбитражный апелляционный суд. В кассационной жалобе департамент ссылается на нарушение судом кассационной инстанции норм права при вынесении обжалуемого постановления.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управление с жалобой на предписание департамента, выданное по результатам проверки объекта капитального строительства. Решением антимонопольного органа департамент признан нарушившим часть 6 статьи 54 Градостроительного кодекса Российской Федерации, что выразилось в предъявлении к обществу и документам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Предписанием управления на департамент возложена обязанность устранить выявленное нарушение. Не согласившись с ненормативными правовыми актами антимонопольного органа, департамент обратился в арбитражный суд. Удовлетворяя заявленные требования, суд первой инстанции пришел к выводу о том, что предписание департамента выдано с соблюдением требований действующего градостроительного законодательства, обусловлено требованиями проектной документации, предъявлено объективно с учетом заключения органа государственного строительного надзора, подтверждающего факт отсутствия надлежащей гидроизоляции подземной парковки, в связи с чем признал недействительными оспариваемые ненормативные правовые акты управления. Оставляя решение суда первой инстанции без изменения, суд апелляционной инстанции исходил из отсутствия у антимонопольного органа полномочий по рассмотрению жалобы общества на предписание департамента. Отменяя постановление суда апелляционной инстанции и направляя дело на новое рассмотрение, суд кассационной инстанции указал, что апелляционный суд по существу спор не рассмотрел, при этом ошибочно исходил исключительно из отсутствия у антимонопольного органа полномочий по рассмотрению жалоб на предписание департамента по вопросам, относящимся к предмету государственного строительного надзора. Учитывая изложенное, суд округа пришел к выводу о том, что постановление суда апелляционной инстанции принято при неполном 3 выяснении судом обстоятельств, имеющих значение для правильного разрешения спора. Оспариваемое постановление принято в пределах полномочий, предоставленных суду кассационной инстанции статьей 287 Арбитражного процессуального кодекса Российской Федерации. Заявитель жалобы не лишен возможности изложить свою позицию при новом рассмотрении спора со ссылками на нормы права и имеющиеся доказательства.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государственного жилищного и строительного надзора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