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Косухин Николай Анатольевич обратился в Арбитражный суд Вологодской области с иском, уточненным в порядке статьи 49 Арбитражного процессуального кодекса Российской Федерации, о взыскании с индивидуального предпринимателя Коробцова Дмитрия Михайловича 97 024 рублей задолженности по договору на оказание услуг по перевозке грузов от 01.04.2018 № 33 и 828 рублей 42 копеек процентов за пользование чужими денежными средствами.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«Древпромстрой». Решением Арбитражного суда Вологодской области от 11.12.2020 иск удовлетворен. Постановлением Четырнадцатого арбитражного апелляционного суда от 12.03.2021 решение суда первой инстанции оставлено без изменения. 2 Арбитражный суд Северо-Западного округа постановлением от 24.06.2021 указанные судебные акты оставил без изменения. Индивидуальный предприниматель Коробцов Дмитрий Михайлович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 факт оказания истцом услуг по перевозке и отсутствие доказательств их оплаты, руководствуясь положениями статей 309, 310, 395, 785 Гражданского кодекса Российской Федерации, суды пришли к выводу об обоснованности иска. Доводы, изложенные в кассационной жалобе, о недоказанности факта оказания услуг приводились при рассмотрении дела,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Коробцову Дмитрию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