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определения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допущены опечатки в его вводной, описательной и резолютивной частях при указании заявителя кассационной жалобы, которые подлежат исправлению в порядке части 3 статьи 179 Арбитражного процессуального кодекса Российской Федерации. Руководствуясь статьями 179, 184,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опечатки, допущенные в вводной, описательной и резолютивной частях определения от 27.05.2020 № 302-ЭС20-8660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Вместо указанного заявителя кассационной жалобы – «общество с ограниченной ответственностью «Фристайл» читать – «общество с ограниченной ответственностью «Миг».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