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статьи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В соответствии с пунктом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333.41 данного Кодекса. Оценив доводы, изложенные в ходатайстве, суд приходит к выводу о наличии оснований для его удовлетворения. Руководствуясь статьями 102 , 184 , 185 Арбитражного процессуального кодекса Российской Федерации, статьями 333.22 , 333.41 Налогового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«ЭкоТехноМенеджмент» удовлетворить. Предоставить обществу с ограниченной ответственностью «ЭкоТехноМенеджмент» отсрочку уплаты государственной пошлины сроком до окончания производства по кассационной жалобе. Судья Верховного Суда Российской Федерации Н.С. Чучунова Суд: Верховный Суд РФ (подробнее) Истцы: ООО "ЭкоТехноМенеджмент" (подробнее) Ответчики: Администрация Бакшеевского сельского поселенияКостромского муниципального района Костромской области (подробнее) Судьи дела: Чучунова Н.С. (судья) (подробнее) Последние документы по делу: Определение от 6 октября 2021 г. по делу № А31-17459/2019 Определение от 12 августа 2021 г. по делу № А31-17459/2019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