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«Восточная Стивидорная Компания» обратилось в Арбитражный суд Приморского края с иском о взыскании с общества с ограниченной ответственностью «Т1» 68 293 рублей 29 копеек убытков за сверхнормативное использование контейнеров.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«Эс-Лайн Групп», общество с ограниченной ответственностью «НафтаТранс», открытое акционерное общество «Российские железные дороги» в лице филиала Забайкальская железная дорога. Решением Арбитражного суда Приморского края от 19.01.2021 в удовлетворении иска отказано. Постановлением Пятого арбитражного апелляционного суда от 19.03.2021 решение суда первой инстанции оставлено без изменения. 2 Арбитражный суд Дальневосточного округа постановлением от 30.06.2021 указанные судебные акты оставил без изменения. Общество с ограниченной ответственностью «Восточная Стивидорная Компания»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исходя из недоказанности факта возмещения истцом убытков, вызванных сверхнормативным использованием контейнеров, руководствуясь статьями 15, 1081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суды пришли к выводу о недоказанности истцом наличия совокупности обстоятельств, необходимых для привлечения ответчика к гражданско-правовой ответственности в виде возмещения убытков.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«Восточная Стивидорная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