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09.02.2021, оставленным без изменения постановлениями Шестого арбитражного апелляционного суда от 26.04.2021 и Арбитражного суда Дальневосточного округа от 08.07.2021, в удовлетворении заявленного требования отказано. 2 В кассационной жалобе управление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признан победителем электронного аукциона на приобретение благоустроенного жилого помещения для обеспечения в 2020 году детей-сирот и детей, оставшихся без попечения родителей, в связи с чем между управлением и предпринимателем заключен муниципальный контракт от 03.08.2020 № 822 (далее – контракт № 822). Впоследствии управлением установлено, что жилое помещение, являющееся предметом контракта № 822, являлось также предметом иного муниципального контракта от 03.08.2020 № 821, заключенного с предпринимателем, что послужило основанием для принятия решения об одностороннем отказе от исполнения контракта № 822 и обращения в антимонопольный орган с заявлением о включении сведений в отношении предпринимателя в реестр недобросовестных поставщиков. По результатам рассмотрения обращения антимонопольным органом принято решение об отказе во включении в реестр недобросовестных поставщиков сведений о предпринимателе; о признании в действиях аукционной комиссии управления нарушения части 6.1 статьи 66 Закона о контрактной системе. Основанием для принятия решения послужил вывод антимонопольного органа о том, что аукционная комиссия заказчика на этапе проведения закупки и рассмотрения заявки предпринимателя как единственного участника аукциона должна была установить, что к закупке предложено жилье, являющееся предметом ранее проведенного аукциона, в связи с чем неправомерно не отстранила предпринимателя от участия в аукционе и заключила с ним муниципальный контракт. Не соглашаясь с ненормативным правовым актом антимонопольного в части признания в действиях аукционной комиссии нарушения 3 законодательства о контрактной системе, управление обратилось в арбитражный суд. Исследовав и оценив представленные в материалы дела доказательства, руководствуясь положениями статей 64, 66, 67 Закона о контрактной системе, суды пришли к выводу о том, что оспариваемое решение антимонопольного органа в обжалуемой части соответствует закону и не нарушает права и интересы заявителя. Судебные инстанции исходили из допущенных аукционной комиссией управления нарушениях Закона о контрактной системе, выразившихся в неосуществлении действий по отстранению предпринимателя от участия в электронном аукционе в связи с представлением недостоверной информации о предлагаемом к закупке жилом помещении.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или допущенной судебной ошибке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по учету и распределению жилой площади мэрии города Магадана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