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10.01.2022 обратился в Верховный Суд Российской Федерации с жалобой на определение судьи Верховного Суда Российской Федерации от 06.10.2021 № 305-ЭС21-18810, определение Арбитражного суда города Москвы от 27.01.2021, постановление Девятого арбитражного апелляционного суда от 14.04.2021 и постановление Арбитражного суда Московского округа от 22.06.2021 по делу № А40-219235/2020,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Ответчики: АО "МОСКОВСКИЙ МАШИНОСТРОИТЕЛЬНЫЙ ЗАВОД "ВПЕРЕД"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