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19.11.2020, оставленным без изменения постановлениями Двадцатого арбитражного апелляционного суда от 26.02.2021 и Арбитражного суда Центрального округа от 09.06.2021, заявление общества удовлетворено частично, решение инспекции признано недействительным в части доначисления налога на прибыль организаций в размере 14 327 524 рублей, налога на добавленную стоимость (далее - НДС) в размере 25 679 059 рублей 20 копеек, акциза в размере 9 339 953 рублей, соответствующих сумм пеней и штрафов. В удовлетворении остальной части заявленного требования отказано. В кассационной жалобе общество ставит вопрос об отмене принятых по делу судебных актов в части отказа в удовлетворении заявления,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по вопросам правильности исчисления и своевременности уплаты (удержания, перечисления) налогов и сборов за период с 01.01.2012 по 25.12.2015 инспекцией вынесено оспариваемое решение о привлечении общества к ответственности за совершение налогового правонарушения, которым обществу доначислены налог на прибыль организаций, НДС и акциз, соответствующие суммы пени и штрафы. Решением управления от 10.05.2017 № 07-15/09825, вынесенным по результатам рассмотрения жалобы общества, решение налогового органа оставлено без изменения. Основанием для начисления налогов, соответствующих сумм пеней и штрафов послужили выводы инспекции о необоснованном включении обществом в состав расходов документально не подтвержденных и экономически необоснованных затрат по агентским договорам, заключенным с юридическими лицами и индивидуальными предпринимателями, поскольку хозяйственные операции реально налогоплательщиком и его контрагентами не осуществлялись, а их действия были согласованы и направлены на создание формального документооборота с целью получения необоснованной налоговой выгоды в виде уменьшения сумм налога, подлежащего уплате в бюджет; о неправомерном применении обществом налоговых вычетов по НДС в отношении хозяйственных операций с обществами с ограниченной ответственностью (далее – ООО) «МонтажИнжениринг», «СК Альянс», «Торгово-строительная компания», «Партнер», «Партнер и К», «Агроимпульс», «Анкор», так как между налогоплательщиком и указанными контрагентами был создан формальный документооборот, направленный на получение необоснованной налоговой выгоды. Частично отказывая в удовлетворении заявления, суды, руководствуясь положениями статей 169 , 171 , 172 , 247 , 252 Налогового кодекса Российской Федерации, Федерального закона от 06.12.2011 № 402-ФЗ «О бухгалтерском учете»,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законности решения инспекции в оспариваемой части. При исследовании обстоятельств дела установлено, что хозяйственные операции налогоплательщика носили формальный характер при отсутствии реальных взаимоотношений с контрагентами; целью включения спорных контрагентов в качестве дополнительных звеньев являлось получение необоснованной налоговой выгоды в виде вычетов по НДС и учета расходов по налогу на прибыль; указанными лицами был создан формальный документооборот; хозяйственные взаимоотношения с покупателями, в том числе их поиск, заключение договоров осуществлялись собственными силами и средствами общества без привлечения третьих лиц; отсутствуют доказательства фактического оказания услуг, выполнения работ спорными контрагентами; представленные налогоплательщиком документы в обоснование права на налоговые вычеты, связанные с приобретением оборудования у ООО «Анкор», не подтверждают реальность хозяйственных операций общества с контрагентом, поскольку спорное оборудование не приобреталось и не находилось в собственности контрагента на момент его продажи.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«Эталон»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"Эталон" (подробнее) Ответчики: Межрайонная инспекция Федеральной налоговой службы №5 по Тульской области (подробнее) Иные лица: УФНС по Тульской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