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10.11.2020, оставленным без изменения постановлением Шестнадцатого арбитражного апелляционного суда от 28.01.2021 и постановлением Арбитражного суда Северо-Кавказского округа от 11.06.2021, иск удовлетворен. В кассационной жалобе Бондаренко И.И. просит об отмене судебных актов, ссылаясь на отсутствие в деле экспедиторской заявки и неосновательную подмену ее другими доказательствами.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Убытки в связи с повреждением груза возложены на ответчика по факту принятия груза к перевозке лицом, состоящим в договорных отношениях с ответчиком, и недоказанности обстоятельств, освобождающих от ответственности за повреждение груза при перевозке в соответствии со статьями 15, 393, 796 Гражданского кодекса Российской Федерации, статьей 7 Федерального закона от 30.06.2003 № 87-ФЗ «О транспортно-экспедиционной деятельности» и их судебным толкованием. Возражения заявителя рассмотрены судами, получили правовую оценку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Бондаренко Ивану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