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27.03.2020, оставленным без изменения постановлением Десятого арбитражного апелляционного суда от 24.02.2021, заявление кредитора о включении требования в размере 33 500 000 рублей основного долга, 15 722 680 рублей 80 копеек процентов в реестр требований кредиторов должника удовлетворено частично. Постановлением Арбитражного суда Московского округа от 07.07.2021 определение и постановление апелляционного суда отменены, дело направлено на новое рассмотрение в суд первой инстанции. В кассационных жалобах общество «Партнерство» и Кравченко А.А. просят отменить постановление окружного суда, ссылаясь на нарушение пределов рассмотрения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неисследование судами нижестоящих инстанций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«Партнерство» и Кравченко Александру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