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24.01.2021 в реестр требований кредиторов должника включено требование Москвина К.Ю. в размере 500 000 рублей основного долга и 57 164 рублей 05 копеек процентов за пользование чужими денежными средствами. Тринадцатый арбитражный апелляционный суд постановлением от 09.04.2021 определение о 24.01.2021 оставил без изменения, исправив в качестве опечатки в его резолютивной части сумму основного долга на 490 000 рублей. Арбитражный суд Северо-Западного округа постановлением от 09.06.2021 постановление Тринадцатого арбитражного апелляционного суда от 09.04.2021 оставил без изменения. В кассационной жалобе Рогулин К.С. просит об отмене судебных актов, ссылаясь на нарушение норм права о доказывании и оценке доказательств.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Доказывание и оценка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Рогулину К.С.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