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11.12.2020, оставленным без изменения постановлением Восемнадцатого арбитражного апелляционного суда от 16.02.2021 и постановлением Арбитражного суда Уральского округа от 01.06.2021, договоры купли-продажи от 08.12.2017 и соглашения о зачете встречных однородных требований от 08.12.2017 признаны недействительными, общество «Орлан Агро» обязано возвратить полученную сельскохозяйственную технику в конкурсную массу должника. В кассационной жалобе общество «Орлан Агро» просит об отмене судебных актов, ссылаясь на неисследование обстоятельств совершения сделок.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доводу заявителя установленные судами обстоятельства совершения сделок (между аффилированными лицами, без фактической оплаты передаваемого имущества, при наличии у должника неисполненных обязательств перед бюджетом) создают условия их недействительности в силу пункта 2 61.2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«Орлан Агро»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