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09.11.2020, оставленным без изменения постановлениями Двадцать первого арбитражного апелляционного суда от 11.03.2021 и Арбитражного суда Центрального округа от 04.06.2021, в удовлетворении заявленных требований отказано. В кассационной жалобе министерство ставит вопрос об отмене принятых по делу судебных актов, ссылаясь на нарушение норм права, неполное 2 исследование судами всех обстоятельств, имеющих существенное значение для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министерства (заказчик) при проведении электронного аукциона, выразившиеся в признании общества уклонившимся от заключения контракта по основаниям несоответствия представленной банковской гарантии действующему законодательству, а именно наличия в гарантии условия о получении гарантом требования бенефициара до истечения срока действия гарантии, антимонопольным органом вынесено решение. Управлением жалоба общества признана обоснованной, в действиях заказчика установлено нарушение требований части 13 статьи 83.2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Предписанием управления на министерство возложена обязанность устранить допущенное нарушение. Не согласившись с ненормативными правовыми актами антимонопольного органа, министерство обратилось в арбитражный суд. Исследовав и оценив представленные в материалы дела доказательства, руководствуясь положениями статей 368, 374, 375 Гражданского кодекса Российской Федерации, статей 45, 83.2, 96 Закона о контрактной системе, постановлением Правительства Российской Федерации от 08.11.2013 № 1005 «О банковских гарантиях, используемых для целей Федерального закона о контрактной системе в сфере закупок товаров, работ, услуг для обеспечения государственных и муниципальных нужд», суды пришли к выводу о законности оспариваемых ненормативных правовых актов антимонопольного органа. Судебные инстанции исходили из соответствия представленной обществом банковской гарантии требованиям действующего законодательства. 3 Ссылка заявителя на иную судебную практику является несостоятельной, поскольку основана на иных фактических обстоятельствах дела, отличных от настоящего спора.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по сути, сводятся к несогласию заявителя с установленными судами фактическими обстоятельствами дела и направлены на их переоценку.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экологии и природных ресурсов Республики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