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11.01.2021 оспариваемое постановление признано незаконным и отменено в части назначения штрафа, превышающего 100 000 рублей. 2 Постановлением Первого арбитражного апелляционного суда от 31.03.2021 решение суда первой инстанции отменено, требования удовлетворены. Постановлением Арбитражного суда Волго-Вятского округа от 01.07.2021 постановление апелляционного суда оставлено без изменения. Административный орган обратился в Верховный Суд Российской Федерации с кассационной жалобой, в которой просит постановления апелляционного суда и суда округа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таких оснований не установлено. Статьей 9.15 Кодекса Российской Федерации об административных правонарушениях установлена административная ответственность за 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порядка, способов или сроков опубликования информации либо предоставление заведомо ложной информации в печатных изданиях,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власти, в электронных средствах массовой информации, а также нарушение порядка, способов или сроков предоставления информации по письменному запросу заинтересованных лиц. 3 Руководствуясь положениями пунктов 3 и 4 Стандартов раскрытия информации субъектами оптового и розничных рынков электрической энергии, утвержденных постановлением Правительства Российской Федерации от 21.01.2004 № 24, апелляционный суд отменил решение суда первой инстанции, признал оспариваемое постановление незаконным, не установив в действиях общества состава правонарушения, ответственность за которое предусмотрена статьей 9.15 Кодекса Российской Федерации об административных правонарушениях, в отсутствие доказательств, свидетельствующих о неисполнении обществом обязанности по раскрытию информации либо нарушении порядка ее раскрытия. Указанные выводы суда в жалобе административным органом не опровергнуты. При этом, поскольку вопреки требованиям частей 4, 6 и 7 статьи 210 Арбитражного процессуального кодекса Российской Федерации суд первой инстанции не проверил надлежащим образом оспариваемое постановление административного органа на предмет его законности и обоснованности в полном объеме, суд апелляционной инстанции исправил указанный недостаток при ревизии судебного акта по жалобе лица, привлеченного к административной ответственности.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