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20.02.2021, оставленным без изменения постановлением Девятого арбитражного апелляционного суда от 22.04.2021, в удовлетворении требования отказано. Постановлением Арбитражного суда Московского округа от 21.07.2021 указанные судебные акты оставлены без изменения. 2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руководствуясь положениями статей 2, 104, 110, 127, 132 Таможенного кодекса Евразийского экономического союза,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торгово-экономического сотрудничества в области экспорта нефти и нефтепродуктов от 12.01.2007, подписанным в г. Москве 10.10.2018, суды пришли к выводу о наличии в действиях общества состава правонарушения, ответственность за совершение которого установлена частью 1 статьи 16.2 Кодекса Российской Федерации об административных 3 правонарушениях, признав факт недекларирования по установленной форме товаров, подлежащих таможенному декларированию. Общество имело возможность для соблюдения всех правил и норм, установленных таможенным законодательством, однако им не приняты все зависящие от него меры по их исполнению. Доводы жалобы были предметом исследования судов и получили исчерпывающую правовую оценку, в том числе, с учетом наличия у общества права обратиться в таможенный орган за получением предварительного решения по классификации товара, а также недоказанностью правомерности классификации в спорной товарной позиции исходя из представленных документов. Выводы судов не противоречат правовой позиции, изложенной в Определении Судебной коллегии по экономическим спорам Верховного Суда Российской Федерации от 18.11.2020 № 302-ЭС20-10494.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