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21.01.2021, оставленным без изменения постановлением Двенадцатого арбитражного апелляционного суда от 19.03.2021 и постановлением Арбитражного суда Поволжского округа от 24.06.2021, в удовлетворении заявления отказано. 2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предпринимателем 29.07.2019 в Инспекцию Федеральной налоговой службы по Дзержинскому району города Волгограда представлен расчет по страховым взносам за 6 месяцев 2019 года, к оплате указано 14 227 рублей 50 копеек страховых взносов. 27.01.2020 предпринимателем в эту же инспекцию представлен расчет по страховым взносам за 12 месяцев 2019 года, согласно которому размер страховых взносов, подлежащих уплате, составил 10 540 рублей. Неисполнение обязанности по уплате страховых взносов послужило основанием для направления в адрес предпринимателя требований № 21480 по состоянию на 13.02.2020 и № 22554 по состоянию на 02.03.2020. В связи неуплатой страховых взносов в срок, установленный в требованиях, налоговым органом вынесено решение от 17.07.2020 № 3860 о взыскании налога, сбора, страховых взносов, пени, штрафа, процентов за счет денежных средств на счетах налогоплательщика (плательщика сбора, плательщика страховых взносов, налогового агента, банка) в банках, а также электронных денежных средств. Кроме того, инспекцией принято решение от 17.07.2020 № 7828 о приостановлении операций по счетам налогоплательщика в банках и направлены поручения на списание денежных средств. Указанные обстоятельства послужили основанием для обращения предпринимателя в арбитражный суд. Отказывая в удовлетворении заявленных требований, суды, руководствуясь положениями статей 45, 46, 47, 69, 70, 76 Налогового кодекса Российской Федерации,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3 обязательного медицинского страхования», Федерального закона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пришли к выводу о том, что оспоренные ненормативные правовые акты инспекции соответствуют действующему законодательству и не нарушают права и законные интересы заявителя. Судебные инстанции исходили из отсутствия в материалах дела доказательств исполнения предпринимателем обязанности по уплате страховых взносов за спорные периоды. Нарушений процедуры вынесения налоговым органом оспариваемых решений, судами не установлено. Доводы предпринимателя, изложенные в кассационной жалобе, в том числе о наличии судебных актов, которыми подтверждена переплата по страховым взносам за более ранние периоды, являлись предметом рассмотрения судов и им дана надлежащая правовая оценка. Приведенные налогоплательщиком доводы в жалобе повторяют позицию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Иванову Ивану Геннадиевичу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