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26.12.2020, оставленным без изменения постановлением Семнадцатого арбитражного апелляционного суда от 19.03.2021 и постановлением Арбитражного суда Уральского округа от 07.06.2021, в удовлетворении заявления отказано. В кассационной жалобе Русалев Э.А. просит об отмене судебных актов, ссылаясь на формальную оценку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отсутствие обязательства должника на спорную сумму, поэтому отказали в удовлетворении заявления в соответствии со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Иное видение заявителем обстоятельств спора и толкование норм права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Русалеву Э.А.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