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Владимирской области от 28.08.2018, оставленным без изменения постановлением Первого арбитражного апелляционного суда от 01.02.2021 и постановлением Арбитражного суда Волго-Вятского округа от 04.06.2021, заявление конкурсного управляющего акционерного коммерческого банка «Пробизнесбанк» – Государственной корпорации «Агентство по страхованию вкладов» о включении в реестр требования в размере 6 164 033 рублей 28 копеек удовлетворено. В кассационной жалобе Кивленок Е.В. просит об отмене судебных актов, ссылаясь на рассмотрение заявления судом первой инстанции в его отсутствие, установление задолженности без проверки соразмерности неустойки и погашения солидарными должниками.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Доводы жалобы о ненадлежащем извещении должника о рассмотрении дела судом первой инстанции и необсуждении судами вопроса о соразмерности неустойки противоречат установленным судами обстоятельствам. Порядок учета уменьшившейся в связи с погашением солидарными должниками задолженности разъяснен судами и не влечет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Кивленку Евгению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