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15.01.2021, оставленным без изменения постановлением Девятого арбитражного апелляционного суда от 01.04.2021 и постановлением Арбитражного суда Московского округа от 16.06.2021, процедура реализации имущества должника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игнорирование нарушений при реализации имущества и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процедуре банкротства и оценили его как создающее условия для применения правила пункта 3 статьи 213.28 Федерального закона от 26.10.2002 № 127-ФЗ «О несостоятельности (банкротстве)». Приведенные в рассматриваемой жалобе доводы повторяют доводы, заявленные в судах нижестоящих инстанций, получившие их правовую оценку и не составляющие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«РИТМ-ФИНАНС»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