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Орловской области от 18.11.2020, оставленным без изменения постановлением Девятнадцатого арбитражного апелляционного суда от 08.04.2021 и постановлением Арбитражного суда Центрального округа от 23.07.2021, в удовлетворении иска отказано. В кассационной жалобе общество «Юридический советник» просит о пересмотре судебных актов, ссылаясь на формальное исследование и неправильную оценку доказательств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Доказывание и оценка доказательств, на которых построены доводы жалобы, не создают оснований для кассационного пересмотра судебных актов. Руководствуясь статьями 291.6 , 291.8 , частью 2 статьи 319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«Юридический советник»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«Юридический советник» в доход федерального бюджета 3 000 (три тысячи) рублей государственной пошлины за подачу кассационной жалобы. Поручить Арбитражному суду Орловской области выдать исполнительный лист на взыскание государственной пошлины. Судья Верховного Суда Российской Федерации Н.А. Ксенофонтова Суд: Верховный Суд РФ (подробнее) Истцы: ООО "Юридический советник" (подробнее) Ответчики: ООО "Развитие"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