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Карабашева Сергея Генриковича финансовый управляющий Токарева Ирина Владимировна обратилась в Арбитражный суд города Москвы с заявлением об утверждении Положения о порядке, условиях и сроках реализации имущества должника (далее - Положение о порядке реализации имущества). Определением Арбитражного суда города Москвы от 30.11.2020 лот № 1 исключен из Положения о порядке реализации имущества, в удовлетворении ходатайства финансового управляющего Токаревой И.В. об утверждении Положения о порядке реализации имущества отказано. Постановлением Девятого арбитражного апелляционного суда от 12.02.2021 определение суда первой инстанции оставлено без изменения. Арбитражный суд Московского округа постановлением от 18.06.2021 указанные судебные акты оставил без изменения. 2 Руденко Игорь Николаевич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обособленный спор, суды руководствовались положениями статьи 213.26 Федерального закона от 26.10.2002 № 127-ФЗ «О несостоятельности (банкротстве)», статьями 34, 46 Семейного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того, что спорные объекты недвижимости не относятся к конкурсной массе должника, поскольку были отчуждены должником в пользу супруги на основании брачного договора, сделка по передаче имущества не оспорена, брачный договор недействительным не признан.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Руденко Игорю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