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Соломин Александр Александрович обратился в Арбитражный суд Республики Марий Эл с иском о взыскании с общества с ограниченной ответственностью «СтройТерминал» 996 048 рублей ущерба, причиненного повреждением имущества в результате затопления помещения.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«Бизнес Сервис». Решением Арбитражного суда Республики Марий Эл от 29.10.2020 в удовлетворении иска отказано. Постановлением Первого арбитражного апелляционного суда от 09.03.2021 решение суда первой инстанции оставлено без изменения. Арбитражный суд Волго-Вятского округа постановлением от 18.06.2021 указанные судебные акты оставил без изменения. 2 Индивидуальный предприниматель Соломин Александр Александрович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установив, что акты о повреждении имущества составлены в одностороннем порядке, отсутствуют достаточные доказательства относительно обстоятельств повреждения имущества истца и не доказана вина ответчика, руководствуясь положениями статей 15, 1064 Гражданского кодекса Российской Федерации, суды пришли к выводу о недоказанности истцом наличия совокупности обстоятельств, необходимых для привлечения ответчика к гражданско-правовой ответственности в виде возмещения убытков.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Соломину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