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«А-ТрансГрупп» обратилось в Арбитражный суд города Санкт-Петербурга и Ленинградской области с иском о взыскании с индивидуального предпринимателя Гриценко Аркадия Александровича 2 470 000 рублей неосновательного обогащения, 9 203 рублей 28 копеек процентов за пользование чужими денежными средствами за период с 30.07.219 по 30.08.2020, с последующим начислением процентов на сумму неосновательного обогащения за период с 31.08.2020 до фактического исполнения основного обязательства, рассчитанных по ключевой ставке Центрального Банка России. Решением Арбитражного суда города Санкт-Петербурга и Ленинградской области от 08.12.2020 иск удовлетворен. 2 Постановлением Тринадцатого арбитражного апелляционного суда от 23.03.2021 решение суда первой инстанции оставлено без изменения. Арбитражный суд Северо-Западного округа постановлением от 08.07.2021 указанные судебные акты оставил без изменения. Индивидуальный предприниматель Гриценко Аркадий Александрович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1102, 1103 Гражданского кодекса Российской Федерации, установив, что предприниматель, получивший сумму предварительной оплаты, не исполнил встречное обязательство на истребуемую денежную сумму, а также не представил доказательств наличия законных оснований для удержания денежных средств, суды сделали вывод о том, что на стороне предпринимателя возникло неосновательное обогащение, которое подлежит возврату.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Гриценко Аркадию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