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02.02.2021, оставленным без изменения постановлением Одиннадцатого арбитражного апелляционного суда от 09.04.2021 и постановлением Арбитражного суда Поволжского округа от 15.06.2021, заявление Медведевой Т.И. возвращено. В кассационной жалобе, поданной в Верховный Суд Российской Федерации, Медведева Т.И.,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Возвращая заявление Медведевой Т.И., суд первой инстанции, выводы которого впоследствии поддержали суды апелляционной инстанции и округа, руководствовался статьями 27, 28, 129 Арбитражного процессуального кодекса Российской Федерации и, учитывая предмет и субъектный состав участников спора, исходил из того, что данный спор не относятся к компетенции арбитражного суда. Изложенные в кассационной жалобе доводы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пересмотра обжалуемых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Медведевой Татьяны Ивановны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