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«Спецстрой» (далее - компания) обратилось в Арбитражный суд Тюменской области с иском, уточненным в порядке статьи 49 Арбитражного процессуального кодекса Российской Федерации, к обществу с ограниченной ответственностью «Аквилон» (далее - общество) о взыскании 3 080 000 руб. задолженности по договору аренды техники с экипажем от 25.03.2019, 567 616 руб. пеней за период с 11.05.2019 по 16.09.2019 и до фактической уплаты суммы долга. Решением Арбитражного суда Тюменской области от 25.11.2020 с общества в пользу компании взыскано 3 080 000 руб. задолженности, 565 600 руб. неустойки, а также неустойка, исходя из ставки 0,2% в день от суммы задолженности, начиная с 17.09.2019 по день фактической уплаты суммы долга; в удовлетворении остальной части исковых требований отказано. Не согласившись с решением суда первой инстанции, общество обратилось в Восьмой арбитражный апелляционный суд с апелляционной жалобой. Определением Восьмого арбитражного апелляционного суда от 08.07.2021 производство по настоящему делу приостановлено до вступления в законную силу итогового судебного акта Арбитражного суда Ямало-Ненецкого автономного округа по делу № А81-162/2020 о несостоятельности (банкротстве) общества по заявлению компании о признании недействительной сделки должника, заключенной с индивидуальным предпринимателем Селезневым Евгением Алексеевичем, и применении последствий недействительности сделки. 2 Постановлением Арбитражного суда Западно-Сибирского округа от 12.08.2021 определение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судебные акты и направить дело на новое рассмотрение в Восьмой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обжалуемых судебных актов и доводов кассационной жалобы не установлено. Приостанавливая производство по делу, суд апелляционной инстанции, поддержанный судом округа, руководствовался пунктом 1 части 1 статьи 143 Арбитражного процессуального кодекса Российской Федерации и исходил из того, что рассмотрение настоящего дела до разрешения обособленного спора по делу № А81-162/2020 невозможно, поскольку установление обстоятельств по этому обособленному спору, в котором оспаривается сделка, касающаяся аналогичного имущества, имеет значение для правильного разрешения данного спора. Доводы кассационной жалобы не опровергают выводы судов, не подтверждают существенных нарушений норм права, повлиявших на исход дела, и не являются достаточным основанием для пересмотра обжалуемых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«Аквилон»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