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15.09.2020 иск удовлетворен. Постановлением Тринадцатого арбитражного апелляционного суда от 24.02.2021 решение отменено, в удовлетворении иска отказано. Постановлением Арбитражного суда Северо-Западного округа от 02.07.2021 решение и постановление апелляционного суда отменены, дело направлено на новое рассмотрение. В кассационной жалобе общество просит отменить постановление суда кассационной инстанции вследствие переоценки им правильных выводов суда апелляционной инстанции.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 неисследование судами нижестоящих инстанций обстоятельств, имеющих правовое значение для взыскания убытков, поэтому признал необходимость нового рассмотрения дела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«Модерн Форвардинг»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