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Калининградской области от 04.12.2020, оставленным без изменения постановлением Тринадцатого арбитражного апелляционного суда от 10.03.2021 и постановлением Арбитражного суда Северо-Западного округа от 02.06.2021, процедура реализации имущества должника завершена; должник освобожден от дальнейшего исполнения требований кредиторов, в том числе не заявленных при введении процедуры реализации имущества. В кассационной жалобе заявители просят об отмене судебных актов, ссылаясь на неосновательное освобождение должника от дальнейшего исполнения требований кредиторов, игнорирование недобросовестности должника и процессуальные нарушения.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оценили поведение должника в процедурах банкротства и установили условия для применения правил пункта 3 статьи 213.28 Федерального закона от 26.10.2002 № 127-ФЗ «О несостоятельности (банкротстве)» для освобождения должника от дальнейшего исполнения обязательств. Довод заявителей о недобросовестности должника был предметом обсуждения судов и мотивированно отклонен. Действия судов, которые заявители считают процессуальными нарушениями, таковыми не являются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гражданам Непрокину Вячеславу Вячеславовичу, Непрокиной Татьяне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