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15.09.2021 направил в Верховный Суд Российской Федерации указанную кассационную жалобу через Арбитражный суд Волгоградской области, к которой приложил ходатайство о восстановлении пропущенного срока на ее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ходатайство о восстановлении процессуального срока, оснований для его удовлетворения не установлено. Так, в обоснование ходатайства заявитель не указывает уважительных причин пропуска процессуального срока подачи жалобы. При этом заявитель является инициатором подачи кассационной жалобы, он был надлежащим образом извещен о месте и времени судебного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Нарушений сроков изготовления оспариваемого постановления суда округа и публикации его полного текста в общедоступном источнике не допущено.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Заявитель не доказал принятие достаточных мер в целях недопущения пропуска процессуального срока обжалования судебных актов.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Поскольку в ходатайстве не приведено обстоятельств, свидетельствующих о том, что процессуальный срок пропущен по не зависящим от заявителя причинам оснований для удовлетворения ходатайства не имеется. Руководствуясь статьями 117, 184, 291.2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государственного учреждения – Волгоградского регионального отделения Фонда социального страхования Российской Федерации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