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28.09.2020 исковые требования удовлетворены. Постановлением Семнадцатого арбитражного апелляционного суда от 27.01.2021 решение суда первой инстанции изменено. Исковые требования удовлетворены частично. С товарищества в пользу предпринимателя взыскано 1 742 767 руб. 70 коп. убытков. В остальной части решение суда оставлено без изменения. Постановлением Арбитражного суда Уральского округа от 08.06.2021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товарищество, ссылаясь на нарушение судами норм права, просит отменить указанные судебные акты в части удовлетворения требования о взыскании с него упущенной выгоды и направить дело в этой части на новое рассмотрение в Арбитражный суд Пермского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в обжалуемой части,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исходили из доказанности предпринимателем наличия совокупности условий, при которых заявленные убытки в виде упущенной выгоды подлежат взысканию с товарищества,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«Комсомольский проспект-81»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ПЕРМИ (подробнее) ООО "ПЕРМЬ ИНВЕНТАРИЗАЦИЯ" (подробнее) Ответчики: ТСЖ "КОМСОМОЛЬСКИЙ ПРОСПЕКТ-81" (подробнее) Иные лица: Научно-исследовательская лаборатория товарных экспертиз Пермского института (филиал) "РЭУ им.Г.В.Плеханова"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