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Зюзюкина Владимира Георгиевича в Арбитражный суд города Санкт-Петербурга и Ленинградской области обратился Гницевич Константин Викторович с заявлением о включении в реестр требований кредиторов должника 28 547 413 рублей 96 копеек, в том числе 8 480 101 рубля 58 копеек основного долга и 20 067 312 рублей 38 копеек процентов по договору займа от 16.01.2013. Определением Арбитражного суда города Санкт-Петербурга и Ленинградской области от 13.11.2020 в удовлетворении заявления отказано. Постановлением Тринадцатого арбитражного апелляционного суда от 26.02.2021 определение суда первой инстанции оставлено без изменения. Арбитражный суд Северо-Западного округа постановлением от 23.06.2021 указанные судебные акты оставил без изменения. Гницевич Константин Викторович обратился в Судебную коллегию Верховного Суда Российской Федерации с кассационной жалобой на принятые 2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и размер требования кредитора, руководствуясь статьями 71, 100, 213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признали требование не подлежащим включению в реестр требований кредиторов должника, учитывая отсутствие бесспорных и достоверных доказательств, подтверждающих наличие у заимодавца финансовой возможности предоставления денежных средств в согласованном размере, передачу денежных средств должнику и расходование должником заемных средств.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Гницевичу Константину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