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29.12.2020, оставленным без изменения постановлениями Второго арбитражного апелляционного суда от 25.03.2021 и Арбитражного суда Волго-Вятского округа от 20.07.2021, заявление учреждения удовлетворено частично, представление счетной палаты признано недействительным в части пунктов 4.1, 4.2, 5.1, 7.1. В удовлетворении остальной части заявления отказано. В кассационной жалобе счетная палата ставит вопрос об отмене принятых по делу судебных актов, ссылаясь на нарушение судами норм материального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отношении учреждения счетной палатой осуществлена проверка финансово-хозяйственной деятельности за период с 01.01.2017 по 31.01.2020, по результатам которой выявлены нарушения гражданского и трудового законодательства, законодательства о бухгалтерском учете, в связи с чем выдано представление. Частично не соглашаясь с ненормативным правовым актом счетной палаты, учреждение обратилось в арбитражный суд. Исследовав и оценив представленные в материалы дела доказательства, руководствуясь положениями статей 2, 3, 265, 266.1, 267.1, 268.1, 270.2, 306.1 Бюджетного кодекса Российской Федерации, статей 2, 3, 9, 10, 14,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статьи 16 Закона Ярославской области от 07.11.2011 № 40-З «О Контрольно-счетной палате Ярославской области», суды пришли к выводу о том, что оспариваемый ненормативный правовой акт в части пунктов 4.1, 4.2, 5.1, 7.1 не соответствует положениям действующего законодательства и нарушает права и законные интересы учреждения в сфере предпринимательской и иной экономической деятельности. Судебные инстанции исходили из отсутствия у счетной палаты полномочий по контролю за соблюдением норм гражданского, трудового, бухгалтерского законодательства, поскольку связь спорных нарушений с бюджетными правоотношениями и предметом проведенной в отношении учреждения проверки не подтверждена, как и не приведено фактов непосредственно нарушений бюджетного законодательства. Доводы кассационной жалобы основаны на ошибочном толковании норм права,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3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