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14.12.2020, оставленным без изменения постановлением Девятого арбитражного апелляционного суда от 26.02.2021, в удовлетворении заявленных требований отказано. Постановлением Арбитражного суда Московского округа от 09.06.2021 указанные судебные акты оставлены без изменения. 2 В жалобе общество просит отменить состоявшиеся по делу судебные акты,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кассационной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7, 309, 310, 312 Налогового кодекса Российской Федерации, статьи 10 Соглашения между Правительством РФ и Правительством Канады от 05.10.1995 «Об избежании двойного налогообложения и предотвращении уклонения от налогообложения в отношении налогов на доходы и имущество», суды отказали в удовлетворении заявленных требований, признав доказанным создание схемы с использованием резидента Королевства Нидерландов в целях получения права на пониженную налоговую ставку. Доводы жалобы были предметом исследования судов и получили исчерпывающую правовую оценку с учетом представленных доказательств и установленных обстоятельств, связанных с неисполнением обществом в полном объеме обязанности налогового агента по налогу на доходы 3 иностранной организации от источников в Российской Федерации,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