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02.03.2021, оставленным без изменения постановлением Двадцатого арбитражного апелляционного суда от 19.04.2021, общество привлечено к административной 2 ответственности по части 4 статьи 14.1 Кодекса Российской Федерации об административных правонарушениях и ему назначено наказание в виде штрафа в размере 100 000 рублей. Постановлением Арбитражного суда Центрального округа от 03.08.2021 указанные судебные акты оставлены без изменения. Общество обратилось в Верховный Суд Российской Федерации с кассационной жалобой, считая состоявшиеся по делу судебные акты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послужил выявленный административным органом факт осуществления обществом деятельности по техническому обслуживанию и ремонту средств обеспечения пожарной безопасности зданий и сооружений с грубым нарушением лицензионных требований.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3 Оценив представленные доказательства, руководствуясь положениями подпункта «д» пункта 4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утвержденного Постановлением Правительства Российской Федерации от 30.12.2011 № 1225, Федерального закона от 22.07.2008 №123-ФЗ «Технический регламент о требованиях пожарной безопасности», Федерального закона от 04.05.2011 №99-ФЗ «О лицензировании отдельных видов деятельности», суды пришли к выводу о наличии в действиях общества состава правонарушения, ответственность за совершение которого предусмотрена частью 4 статьи 14.1 Кодекса Российской Федерации об административных правонарушениях. При этом суды исходили из того, что общество, взяв на себя обязательства по договору, и являясь специализированной организацией, оказывающей лицензируемые услуги по обеспечению пожарной безопасности, не обеспечило надлежащую работоспособность пожарной сигнализации в помещениях интерната, что создает угрозу причинения вреда жизни, здоровью граждан в случае возникновения пожара и является грубым нарушением лицензионных требований.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Обжалуя указанные судебные акты в Верховный Суд Российской Федерации, общество приводит доводы об отсутствии в его действиях состава вмененного административного правонарушения, в том числе вины в совершении правонарушения. Вместе с тем указанные доводы являлись предметом исследования судов и получили исчерпывающую правовую оценку применительно к установленным фактическим обстоятельствам дела, в том числе, связанным с отсутствием доказательств, подтверждающих воспрепятствование в доступе в здание для технического обслуживания оборудования после 17.07.2020. 4 При принятии судебного акта суд первой инстанции руководствовался совокупностью представленных в материалы дела доказательств, при этом ссылка в судебном акте на письменные пояснения директора интерната отсутствует.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