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08.10.2020, оставленным без изменения постановлением Первого арбитражного апелляционного суда от 19.02.2021, иск удовлетворен. Постановлением Арбитражного суда Волго-Вятского округа от 09.06.2021 указанные судебные акты отменены, дело направлено на новое рассмотрение в арбитражный суд первой инстанции. Истец обратился в Верховный Суд Российской Федерации с кассационной жалобой, в которой просит постановление суда округа отменить, 2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соразмерности неустойки последствиям нарушения денежного обязательства.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3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