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10.02.2021, оставленным без изменения постановлением Пятого арбитражного апелляционного суда от 15.04.2021, требования удовлетворены частично, с ответчика в пользу истца взыскано 1 856 217 рублей 48 копеек задолженности. В удовлетворении остальной части требований отказано. Постановлением Арбитражного суда Дальневосточного округа от 29.06.2021 указанные судебные акты оставлены без изменения. 2 В кассационной жалобе, поступившей в Верховный Суд Российской Федерации, Управление просит отменить названные судебные акты, считая их незаконными и необоснованными.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обстоятельств в жалобе не приведено. Как следует из судебных актов, оценив представленные в материалы дела доказательства и установив, что являясь исполнителем по заключенному с ответчиком (заказчик) муниципальному контракту, истец оказал услуги по круглосуточной охране объектов недвижимости на общую сумму 1 856 217 рублей 48 копеек за период с 01.07.2019 по 01.12.2019, за исключением фактов ненадлежащего исполнения обязательств, которые подтверждаются актами от 17.07.2019, 31.07.2019, 10.08.2019, 25.08.2010, 26.10.2019, 09.11.2019. Руководствуясь положениями Гражданского кодекса Российской Федерации, с учетом вступившего в законную силу решения суда по делу № А51-25923/2019, суды пришли к выводу о возникновении у ответчика обязанности по оплате оказанных услуг.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удовлетворили требования истца в соответствующей части. Обжалуя судебные акты в Верховный Суд Российской Федерации, ответчик приводит доводы, которые являлись предметом рассмотрения судов и получили надлежащую правовую оценку с учетом установленных обстоятельств дела, связанных с возникновением у ответчика задолженности за оказанные услуги. Доводы жалобы не свидетельствуют о существенных нарушениях судами норм материального права и (или) норм процессуального права, повлиявших на 3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