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29.09.2020 исковые требования удовлетворены. Постановлением Семнадцатого арбитражного апелляционного суда от 16.02.2021 решение суда первой инстанции отменено, в удовлетворении исковых требований отказано. Постановлением Арбитражного суда Уральского округа от 04.06.2021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подряда от 20.05.2019 № 9-СП-05/19, установив, что компания (субподрядчик) выполнила предусмотренные договором работы, общество (подрядчик) необоснованно отказалось от подписания актов приемки выполненных работ, произведенные последним платежи осуществлены за фактически выполненные работы и авансовыми не являлись, руководствуясь статьями 450.1, 453, 740, 753, 1102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требований, с чем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«РТС»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