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09.10.2020, оставленным без изменения постановлением Девятого арбитражного апелляционного суда от 20.01.2021, в иске отказано. Постановлением Арбитражного суда Московского округа от 27.05.2021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Исходя из доводов жалобы, основания для ее удовлетворения отсутствуют. Оценив представленные доказательства, суды отказали в иске, признав недоказанным совокупность условий, предусмотренных статьями 15 , 1069 Гражданского кодекса Российской Федерации, и необходимых для возмещения вреда. Доводы жалобы направлены на переоценку доказательств и установление иных фактических обстоятельств дела, связанных с оценкой разумности и осмотрительности действий (бездействия) административного органа, а также установленных в рамках иного арбитражного дела обстоятельств нахождения продукции в незаконном обороте, а также не соответствуют правовой позиции, изложенной в пункте 8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"Частная пивоварня "Афанасий" (подробнее) Ответчики: Федеральная служба по регулированию алкогольного рынка (подробнее) Судьи дела: Першутов А.Г.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