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01.02.2021, оставленным без изменения постановлением Пятнадцатого арбитражного апелляционного суда от 01.04.2021, иск удовлетворен частично, с предприятия в пользу министерства взыскано 80 763,87 рубля, в удовлетворении остальной части иска отказано. Постановлением Арбитражного суда Северо-Кавказского округа от 30.06.2021 указанные судебные акты оставлены без изменения. Предприятие просит отменить названные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329 , 330 , 395 , 525 , 526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 частично, признав доказанным правомерность начисления неустойки, определив период ее начисления и размер в соответствии с условиями контракта. Доводы жалобы о пропуске срока исковой давности по всем заявленным требованиям о взыскании неустойки повторяют позицию предприятия по делу, являлись предметом рассмотрения судов и получили исчерпывающую правовую оценку исходя из установленных обстоятельств, связанных с исполнением основного обязательства, а также правовой позиции, изложенной в Определении Верховного Суда Российской Федерации от 04.03.2019 № 305-ЭС18-21546.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Министерство здравоохранения КК (подробнее) Министерство здравоохранения Краснодарского края (подробнее) Ответчики: ГУП КК "КубаньФармация"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