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11.12.2020, оставленным без изменения постановлением Шестнадцатого арбитражного апелляционного суда от 19.05.2021, в иске отказано. Постановлением Арбитражного суда Северо-Кавказского округа от 13.07.2021 указанные судебные акты оставлены без изменения. 2 Предприниматель просит отменить названные судебные акты,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выявлено. Оценив представленные доказательства, руководствуясь положениями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отказали в иске, признав, что действия по заключению договоров привели к ограничению конкуренции, и не установив оснований для возникновения обязательств по оплате. Приведенные в жалобе доводы повторяют правовую позицию заявителя по спору и связаны с исследованием и оценкой судами обстоятельств и причин неоднократной закупки, взаимоотношения заказчика и исполнителя, наличия возможности провести закупку конкурентным способом, что не относится к полномочиям суда кассационной инстанции. Доводы жалобы не подтверждают существенных нарушений норм материального и (или) процессуального права, которые могли повлиять на исход дела и не являются достаточным основанием для пересмотра обжалуемых судебных актов в кассационном порядке. 3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