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19.01.2021, оставленным без изменения постановлением Десятого арбитражного 2 апелляционного суда от 24.03.2021, оспариваемое постановление изменено в части назначенного наказания, штраф снижен до 80 157,99 рублей. Постановлением Арбитражного суда Московского округа от 17.06.2021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ссылаясь на допущенные, по его мнению,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расчетов с иностранными гражданами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3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При этом суды исходили из того, что валютным законодательством определен исчерпывающий перечень случаев, при которых юридические лица - резиденты могут осуществлять расчеты с физическими лицами - нерезидентами без использования банковских счетов в уполномоченных банках, рассматриваемый случай к ним не относится. Наличия объективных причин, препятствующих соблюдению обществом требований законодательства, а также принятие обществом всех зависящих от него мер по недопущению правонарушения, судами не установлено. Суды признали, что процедура привлечения к административной ответственности не нарушена, вина общества установлена. Оснований для применения положений статьи 2.9 Кодекса Российской Федерации об административных правонарушениях не выявлено.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 с учетом положений статьи 11 Трудового кодекса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