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25.11.2020, оставленным без изменения постановлением Девятого арбитражного апелляционного суда от 26.01.2021, заявленные требования удовлетворены. 2 Постановлением Арбитражного суда Московского округа от 09.06.2021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При рассмотрении дела суды пришли к выводу о том, что срок давности привлечения к административной ответственности, установленный частью 1 статьи 4.5 Кодекса Российской Федерации об административных правонарушениях, на момент вынесения постановления истек. В соответствии с частью 2 статьи 4.5 Кодекса Российской Федерации об административных правонарушениях при длящемся административном правонарушении сроки давности привлечения к административной ответственности начинают исчисляться со дня обнаружения административного правонарушения (пункт 14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правонарушениях»). Вопреки доводам жалобы в силу примечания к статье 4.8 Кодекса Российской Федерации об административных правонарушениях ее положения не отменяют установленный частью 2 статьи 4.5 названного Кодекса специальный порядок исчисления срока для вынесения постановления по делу об административном правонарушении со дня обнаружения административного правонарушения.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