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Харитонова Михаила Николаевича Федеральная налоговая служба обратилась в Арбитражный суд Самарской области с заявлением о включении в реестр требований кредиторов должника задолженности в размере 27 990 рублей. Определением Арбитражного суда Самарской области от 04.12.2020 заявление удовлетворено: требование ФНС России в размере 23 400 рублей задолженности по обязательному пенсионному страхованию включено в реестр требований кредиторов должника в состав требований кредиторов второй очереди; требование в размере 4 590 рублей задолженности по обязательному медицинскому страхованию включено в реестр требований кредиторов должника в состав требований кредиторов третьей очереди. Постановлением Одиннадцатого арбитражного апелляционного суда от 12.03.2021 определение суда первой инстанции оставлено без изменения. Арбитражный суд Поволжского округа постановлением от 16.06.2021 указанные судебные акты оставил без изменения. Харитонов Михаил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Проверив обоснованность требования кредитора и доказательства возникновения задолженности по обязательному пенсионному страхованию и обязательному медицинскому страхованию, руководствуясь статьями 71, 100, 134 Федерального закона от 26.10.2002 № 127-ФЗ «О несостоятельности (банкротстве)», суды удовлетворили требование ФНС России.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Харитонову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