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14.05.2020, оставленным без изменения постановлением Девятого арбитражного апелляционного суда от 28.10.2020, в удовлетворении заявленного требования отказано. Постановлением Арбитражного суда Московского округа от 17.06.2021 указанные судебные акты оставлены без изменения. 2 Общество просит отменить обжалуемые судебные акты, считая их принятыми с существенным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и в дополнениях к ней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Отказывая в удовлетворении требования и признавая обоснованными выводы налогового органа, суды руководствовались положениями статей 54.1, 171, 172, 252 Налогового кодекса Российской Федерации, статей 8, 9 Федерального закона от 06.12.2011 № 402-ФЗ «О бухгалтерском учете», с учетом правовой позиции постановления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и исходили из того, что общество, осуществляя сделки со спорными контрагентами, действовало исключительно с целью незаконного уменьшения налоговой базы по НДС и налогу на прибыль организаций путем искажения сведений о фактах хозяйственной жизни ввиду отсутствия реальных операций со спорными контрагентами, а также отсутствия поставки части товара, потребности в товарно-материальных ценностях, приобретаемых у контрагентов, и необходимости в заключении договоров; заключения сделок, не свойственных предпринимательскому обороту; аффилированности и взаимозависимости всех участников сделок и их подконтрольности акционерному обществу «РусьОйл»; предопределения движения денежных и товарных потоков; формального отношения к невыполнению контрагентами своих обязательств; создания искусственного документооборота; вывода спорными контрагентами денежных средств, полученных от заявителя на цели, не связанные с предметом заключенных договоров, в том числе путем перечисления их публичному акционерному обществу Банк «Югра», подконтрольному Хотину А.Ю. и холдингу «Русь-Ойл. Доводы кассационной жалобы были предметом исследования судов и получили надлежащую правовую оценку применительно к установленным обстоятельствам, не согласиться с которой оснований не имеется. Указанные доводы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3 судебном заседании Судебной коллегии по экономическим спорам Верховного Суда Российской Федерации.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