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Комиссарова Алексея Александровича в Арбитражный суд Костромской области обратилось общество с ограниченной ответственностью «Дом-Строй» (далее - общество «Дом-Строй») с заявлением о включении в реестр требований кредиторов должника требования в размере 23 065 976 рублей 17 копеек. Определением Арбитражного суда Костромской области от 30.09.2020 в удовлетворении заявления отказано. Постановлением Второго арбитражного апелляционного суда от 19.02.2021 определение суда первой инстанции изменено; требование общества «Дом-Строй» в размере 3 938 139 рублей 72 копеек признано обоснованным и включено в состав третьей очереди реестра требований кредиторов должника; остальной части определение оставлено без изменения. Арбитражный суд Волго-Вятского округа постановлением от 10.06.2021 постановление суда апелляционной инстанции оставил без изменения. Комиссаров Алексей Александрович обратился в Судебную коллегию Верховного Суда Российской Федерации с кассационной жалобой на 2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 апелляционной инстанции руководствовался положениями статей 15, 53, 53.1, 393 Гражданского кодекса Российской Федерации, статьями 11, 45, 143, 146, 171 Налогового кодекса Российской Федерации, статьями 16, 71, 100, 213.24 Федерального закона от 26.10.2002 № 127-ФЗ «О несостоятельности (банкротстве)», разъяснениями, изложенными в постановлениях Пленума Высшего Арбитражного Суда Российской Федерации от 22.06.2012 № 35 «О некоторых процессуальных вопросах, связанных с рассмотрением дел о банкротстве» и от 30.07.2013 № 62 «О некоторых вопросах возмещения убытков лицами, входящими в состав органов юридического лица», и исходил из того, что факт недобросовестного поведения Комиссарова А.А. как руководителя общества с ограниченной ответственностью «Руслес 44» подтвержден актом налоговой проверки, в результате таких действий обществу «Дом-Строй» причинены убытки в виде оплаченных кредитором пеней и штрафных санкций, в связи с чем заявленное требование подлежит включению в реестр в размере 3 938 139 рублей 72 копеек. Во включении в реестр требований кредиторов должника остальной части требования отказано, поскольку доначисленная налогоплательщику недоимка и добровольно уплаченные обществом налоги и пени за 2016 год не являются убытками.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3 Доводы, изложенные в кассационной жалобе, приводились в судах, были рассмотрены судами и мотивированно отклонены. Несогласие заявителя кассационной жалобы с выводами судов, основанными на оценке доказательств и установленных фактических обстоятельствах дела,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Комиссарову Алексею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