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фон обратился в суд с заявлением, в котором просил: удовлетворить заявление фонда о намерении в порядке статьи 201.15-1 Федерального закона от 26.10.2002 № 127-ФЗ «О несостоятельности (банкротстве)» (далее - Закон о банкротстве) стать приобретателем прав должника на земельный участок площадью 1 337 кв. м, с кадастровым номером 74:30:0103006:1283, расположенный по адресу: Челябинская область, г. Копейск, ул. Чаадаеева, 79, принадлежащий должнику на праве собственности, со всеми неотделимыми улучшениями на таком земельном участке, в том числе объектом незавершенного строительства – многоквартирный жилой дом (I очередь строительства), расположенный по адресу: Челябинская область, г. Копейск, ул. Чаадаеева, 79, прав на проектную документацию, включающую в себя все внесённые в неё изменения, и исполнить обязательства должника перед участниками строительства, требования которых включены в реестр требований участников строительства в рамках настоящего дела; передать фонду соответствующее имущество и обязательства должника перед участниками строительства, требования которых включены в реестр требований участников строительства. Определением Арбитражного суда Челябинской области от 24.05.2021, оставленного без изменения постановлением Восемнадцатого арбитражного апелляционного суда от 10.08.2021, заявление фонда удовлетворено, фонду 2 определено перечислить на специальный банковский счёт должника денежные средства в размере 3 448 299 рублей 10 копеек в срок до 21.06.2021 для погашения требований к должнику по текущим платежам и реестровых требований первой и второй очереди. Не согласившись с вышеуказанными судебными в части обязания фонда перечислить денежные средства на специальный банковский счёт должника в размере 3 448 299 рублей 10 копеек, фонд обратился в Верховный Суд Российской Федерации с кассационной жалобой, заявив ходатайство о принятии обеспечительных мер в виде запрета конкурсному управляющему должником Свистунову Антону Юрьевичу на распоряжение денежными средствами по текущим платежам должника в размере 1 681 890 рублей 56 копеек до рассмотрения кассационной жалобы по существу. Заявитель считает необходимым принять данные обеспечительные меры, поскольку непринятие мер может причинить фонду ущерб ввиду наличия возможности совершения конкурсным управляющим должником действий по перечислению денежных средств для оплаты услуг привлечённых специалистов. Изучив ходатайство,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Ходатайство не подлежит удовлетворению.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фонду «Защита прав участников долевого строительства в Челябинской области» в удовлетворении ходатайства о принятии обеспечительных мер.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