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28.07.021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Принимая во внимание положения части 3 статьи 291.5 Арбитражного процессуального кодекса Российской Федерации,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своевременное направление первоначальной жалобы (05.07.2021) и основания ее возврата,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«Страховая группа «АСКО» в лице Государственной корпорации Агентства по страхованию вкладов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СГ АСКО в лице КУ ГК АСВ (подробнее) ООО "Страховая группа "Аско" (подробнее) Ответчики: ООО "Страховая платежная система"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