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23.10.2020 с общества в пользу компании взыскано 9 224 395 руб. 30 коп. задолженности, общество обязано возвратить по акту приема-передачи транспортные средства, в удовлетворении остальной части исковых требований отказано. Постановлением Девятнадцатого арбитражного апелляционного суда от 23.12.2020 решение суда первой инстанции отменено в обжалуемой 2 части - в части отказа в удовлетворении исковых требований и в части распределения судебных расходов; с общества в пользу компании взыскано 555 917 руб. 17 коп. задолженности, 3000 руб. расходов по уплате государственной пошлины за подачу апелляционной жалобы; с общества в доход федерального бюджета взыскано 164 402 руб. государственной пошлины за рассмотрение иска; с компании в доход федерального бюджета взыскано 3000 руб. государственной пошлины за рассмотрение заявления об обеспечении иска. Постановлением Арбитражного суда Центрального округа от 01.06.2021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Отменяя решение суда первой инстанции в части отказа в удовлетворении исковых требований и удовлетворяя их, суд апелляционной инстанции,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161, 424, 434, 438, 450, 452, 453, 614 Гражданского кодекса Российской Федерации, исходил из установленных обстоятельств, свидетельствующих о достижении сторонами соглашения об изменении (увеличении) цены спорных договоров, с учетом которой и следует производить расчет задолженности по оплате пользования принятым по этим договорам имуществом. Суд округа поддержал выводы судов первой и апелляционной инстанций. Доводы кассационной жалобы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«Русские протеины»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