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Межрайонная инспекция Федеральной налоговой службы России № 22 по Московской области (далее – уполномоченный орган) обратилась в суд с заявлением о включении в реестр требований кредиторов должника (далее – реестр) задолженности в сумме 1 036 076 419 рублей 50 копеек. Определением Арбитражного суда Московской области от 28.09.2020, оставленным без изменения постановлениями Десятого арбитражного апелляционного суда от 08.02.2021 и Арбитражного суда Московского округа от 01.06.2021, заявление удовлетворено, вышеуказанное требование включено в третью очередь реестра. В кассационной жалобе, поданной в Верховный Суд Российской Федерации, заявитель просит отменить указанные судебные акты, обособленный спор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исходили из предоставления надлежащих доказательств, подтверждающих требования уполномоченного органа.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«БМ-Банк»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